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5159A" w14:textId="7B5F78F3" w:rsidR="00267897" w:rsidRPr="00267897" w:rsidRDefault="00267897" w:rsidP="0026789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67897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C741CB">
        <w:rPr>
          <w:rFonts w:ascii="Arial" w:hAnsi="Arial" w:cs="Arial"/>
          <w:sz w:val="28"/>
          <w:szCs w:val="28"/>
        </w:rPr>
        <w:t>2019, 3.</w:t>
      </w:r>
      <w:r w:rsidRPr="00267897">
        <w:rPr>
          <w:rFonts w:ascii="Arial" w:hAnsi="Arial" w:cs="Arial"/>
          <w:sz w:val="28"/>
          <w:szCs w:val="28"/>
        </w:rPr>
        <w:t xml:space="preserve"> Auflage)</w:t>
      </w:r>
    </w:p>
    <w:p w14:paraId="3BCA8100" w14:textId="77777777" w:rsidR="00267897" w:rsidRPr="00267897" w:rsidRDefault="00267897" w:rsidP="0026789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C39E7C" w14:textId="77777777" w:rsidR="00032426" w:rsidRPr="00267897" w:rsidRDefault="00032426">
      <w:pPr>
        <w:pStyle w:val="NurText"/>
        <w:rPr>
          <w:rFonts w:ascii="Arial" w:eastAsia="MS Mincho" w:hAnsi="Arial"/>
          <w:bCs/>
          <w:sz w:val="28"/>
          <w:szCs w:val="28"/>
        </w:rPr>
      </w:pPr>
      <w:r w:rsidRPr="00267897">
        <w:rPr>
          <w:rFonts w:ascii="Arial" w:eastAsia="MS Mincho" w:hAnsi="Arial"/>
          <w:bCs/>
          <w:sz w:val="28"/>
          <w:szCs w:val="28"/>
        </w:rPr>
        <w:t>Kapitel 10  Genetische Ressourcen</w:t>
      </w:r>
    </w:p>
    <w:p w14:paraId="05A3F1D0" w14:textId="77777777" w:rsidR="00032426" w:rsidRPr="00267897" w:rsidRDefault="00032426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p w14:paraId="7D806837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1.</w:t>
      </w:r>
    </w:p>
    <w:p w14:paraId="422AF3E7" w14:textId="252E4E7F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Der primäre Genpool ist die Art selber sowie andere Arten, die ohne Schwi</w:t>
      </w:r>
      <w:r w:rsidRPr="00267897">
        <w:rPr>
          <w:rFonts w:ascii="Arial" w:eastAsia="MS Mincho" w:hAnsi="Arial"/>
          <w:sz w:val="28"/>
          <w:szCs w:val="28"/>
        </w:rPr>
        <w:t>e</w:t>
      </w:r>
      <w:r w:rsidRPr="00267897">
        <w:rPr>
          <w:rFonts w:ascii="Arial" w:eastAsia="MS Mincho" w:hAnsi="Arial"/>
          <w:sz w:val="28"/>
          <w:szCs w:val="28"/>
        </w:rPr>
        <w:t xml:space="preserve">rigkeiten </w:t>
      </w:r>
      <w:r w:rsidR="00132E3A">
        <w:rPr>
          <w:rFonts w:ascii="Arial" w:eastAsia="MS Mincho" w:hAnsi="Arial"/>
          <w:sz w:val="28"/>
          <w:szCs w:val="28"/>
        </w:rPr>
        <w:t xml:space="preserve">mit ihr </w:t>
      </w:r>
      <w:r w:rsidRPr="00267897">
        <w:rPr>
          <w:rFonts w:ascii="Arial" w:eastAsia="MS Mincho" w:hAnsi="Arial"/>
          <w:sz w:val="28"/>
          <w:szCs w:val="28"/>
        </w:rPr>
        <w:t>kreuzbar sind. Zum sekundären Genpool gehören Arten, die nur mit Schwierigkeiten kreuzbar sind. Beispiel: Bei Kreuzungen der Kultu</w:t>
      </w:r>
      <w:r w:rsidRPr="00267897">
        <w:rPr>
          <w:rFonts w:ascii="Arial" w:eastAsia="MS Mincho" w:hAnsi="Arial"/>
          <w:sz w:val="28"/>
          <w:szCs w:val="28"/>
        </w:rPr>
        <w:t>r</w:t>
      </w:r>
      <w:r w:rsidRPr="00267897">
        <w:rPr>
          <w:rFonts w:ascii="Arial" w:eastAsia="MS Mincho" w:hAnsi="Arial"/>
          <w:sz w:val="28"/>
          <w:szCs w:val="28"/>
        </w:rPr>
        <w:t xml:space="preserve">gerste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vulgare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mit der Wildart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spontaneum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erhält man weitgehend normalen Kornansatz. Bestäubt man dagegen die Kulturgerste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vulgare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mit der Wildart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bulbosum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erhält man keinen A</w:t>
      </w:r>
      <w:r w:rsidRPr="00267897">
        <w:rPr>
          <w:rFonts w:ascii="Arial" w:eastAsia="MS Mincho" w:hAnsi="Arial"/>
          <w:sz w:val="28"/>
          <w:szCs w:val="28"/>
        </w:rPr>
        <w:t>n</w:t>
      </w:r>
      <w:r w:rsidRPr="00267897">
        <w:rPr>
          <w:rFonts w:ascii="Arial" w:eastAsia="MS Mincho" w:hAnsi="Arial"/>
          <w:sz w:val="28"/>
          <w:szCs w:val="28"/>
        </w:rPr>
        <w:t xml:space="preserve">satz. Man kann aber nach der Bestäubung die Samenanlagen aus der Ähre entfernen und auf ein Nährmedium setzen (Embryokultur,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embryo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rescue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, siehe Abb. 12.4 auf S. </w:t>
      </w:r>
      <w:r w:rsidR="00C741CB">
        <w:rPr>
          <w:rFonts w:ascii="Arial" w:eastAsia="MS Mincho" w:hAnsi="Arial"/>
          <w:sz w:val="28"/>
          <w:szCs w:val="28"/>
        </w:rPr>
        <w:t>219</w:t>
      </w:r>
      <w:r w:rsidRPr="00267897">
        <w:rPr>
          <w:rFonts w:ascii="Arial" w:eastAsia="MS Mincho" w:hAnsi="Arial"/>
          <w:sz w:val="28"/>
          <w:szCs w:val="28"/>
        </w:rPr>
        <w:t xml:space="preserve">), daraus entwickelt sich dann häufig eine haploide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="00C741CB">
        <w:rPr>
          <w:rFonts w:ascii="Arial" w:eastAsia="MS Mincho" w:hAnsi="Arial"/>
          <w:i/>
          <w:iCs/>
          <w:sz w:val="28"/>
          <w:szCs w:val="28"/>
        </w:rPr>
        <w:t>vulgare</w:t>
      </w:r>
      <w:proofErr w:type="spellEnd"/>
      <w:r w:rsidR="00C741CB" w:rsidRPr="00267897">
        <w:rPr>
          <w:rFonts w:ascii="Arial" w:eastAsia="MS Mincho" w:hAnsi="Arial"/>
          <w:sz w:val="28"/>
          <w:szCs w:val="28"/>
        </w:rPr>
        <w:t xml:space="preserve"> </w:t>
      </w:r>
      <w:r w:rsidRPr="00267897">
        <w:rPr>
          <w:rFonts w:ascii="Arial" w:eastAsia="MS Mincho" w:hAnsi="Arial"/>
          <w:sz w:val="28"/>
          <w:szCs w:val="28"/>
        </w:rPr>
        <w:t xml:space="preserve">Pflanze, die nach Verdopplung des Chromosomensatzes in der Linienzüchtung eingesetzt werden kann (S. </w:t>
      </w:r>
      <w:r w:rsidR="00C741CB">
        <w:rPr>
          <w:rFonts w:ascii="Arial" w:eastAsia="MS Mincho" w:hAnsi="Arial"/>
          <w:sz w:val="28"/>
          <w:szCs w:val="28"/>
        </w:rPr>
        <w:t>271</w:t>
      </w:r>
      <w:r w:rsidRPr="00267897">
        <w:rPr>
          <w:rFonts w:ascii="Arial" w:eastAsia="MS Mincho" w:hAnsi="Arial"/>
          <w:sz w:val="28"/>
          <w:szCs w:val="28"/>
        </w:rPr>
        <w:t>). In seltenen Fällen kann aber auch eine Kreuzungspflanze entst</w:t>
      </w:r>
      <w:r w:rsidRPr="00267897">
        <w:rPr>
          <w:rFonts w:ascii="Arial" w:eastAsia="MS Mincho" w:hAnsi="Arial"/>
          <w:sz w:val="28"/>
          <w:szCs w:val="28"/>
        </w:rPr>
        <w:t>e</w:t>
      </w:r>
      <w:r w:rsidRPr="00267897">
        <w:rPr>
          <w:rFonts w:ascii="Arial" w:eastAsia="MS Mincho" w:hAnsi="Arial"/>
          <w:sz w:val="28"/>
          <w:szCs w:val="28"/>
        </w:rPr>
        <w:t xml:space="preserve">hen.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spontaneum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gehört daher zum primären und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bulb</w:t>
      </w:r>
      <w:r w:rsidRPr="00267897">
        <w:rPr>
          <w:rFonts w:ascii="Arial" w:eastAsia="MS Mincho" w:hAnsi="Arial"/>
          <w:i/>
          <w:iCs/>
          <w:sz w:val="28"/>
          <w:szCs w:val="28"/>
        </w:rPr>
        <w:t>o</w:t>
      </w:r>
      <w:r w:rsidRPr="00267897">
        <w:rPr>
          <w:rFonts w:ascii="Arial" w:eastAsia="MS Mincho" w:hAnsi="Arial"/>
          <w:i/>
          <w:iCs/>
          <w:sz w:val="28"/>
          <w:szCs w:val="28"/>
        </w:rPr>
        <w:t>sum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zum sekundären Genpool von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Hordeum</w:t>
      </w:r>
      <w:proofErr w:type="spellEnd"/>
      <w:r w:rsidRPr="00267897">
        <w:rPr>
          <w:rFonts w:ascii="Arial" w:eastAsia="MS Mincho" w:hAnsi="Arial"/>
          <w:i/>
          <w:iCs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i/>
          <w:iCs/>
          <w:sz w:val="28"/>
          <w:szCs w:val="28"/>
        </w:rPr>
        <w:t>vulgare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. </w:t>
      </w:r>
    </w:p>
    <w:p w14:paraId="04DBAA61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7A240D52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2.</w:t>
      </w:r>
    </w:p>
    <w:p w14:paraId="54200AEF" w14:textId="7C861CC6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 xml:space="preserve">siehe S. </w:t>
      </w:r>
      <w:r w:rsidR="00C741CB">
        <w:rPr>
          <w:rFonts w:ascii="Arial" w:eastAsia="MS Mincho" w:hAnsi="Arial"/>
          <w:sz w:val="28"/>
          <w:szCs w:val="28"/>
        </w:rPr>
        <w:t>184</w:t>
      </w:r>
    </w:p>
    <w:p w14:paraId="6C504E4F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5FD92495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3.</w:t>
      </w:r>
    </w:p>
    <w:p w14:paraId="285D59F2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Für Standorte mit spezifischen Stressbedingungen (Höhenlagen, Nährstof</w:t>
      </w:r>
      <w:r w:rsidRPr="00267897">
        <w:rPr>
          <w:rFonts w:ascii="Arial" w:eastAsia="MS Mincho" w:hAnsi="Arial"/>
          <w:sz w:val="28"/>
          <w:szCs w:val="28"/>
        </w:rPr>
        <w:t>f</w:t>
      </w:r>
      <w:r w:rsidRPr="00267897">
        <w:rPr>
          <w:rFonts w:ascii="Arial" w:eastAsia="MS Mincho" w:hAnsi="Arial"/>
          <w:sz w:val="28"/>
          <w:szCs w:val="28"/>
        </w:rPr>
        <w:t xml:space="preserve">mangel, Versalzung, Trockenheit usw.), weil bei </w:t>
      </w:r>
      <w:proofErr w:type="gramStart"/>
      <w:r w:rsidRPr="00267897">
        <w:rPr>
          <w:rFonts w:ascii="Arial" w:eastAsia="MS Mincho" w:hAnsi="Arial"/>
          <w:sz w:val="28"/>
          <w:szCs w:val="28"/>
        </w:rPr>
        <w:t>den</w:t>
      </w:r>
      <w:proofErr w:type="gramEnd"/>
      <w:r w:rsidRPr="00267897">
        <w:rPr>
          <w:rFonts w:ascii="Arial" w:eastAsia="MS Mincho" w:hAnsi="Arial"/>
          <w:sz w:val="28"/>
          <w:szCs w:val="28"/>
        </w:rPr>
        <w:t xml:space="preserve"> an solchen Standorten traditionell angebauten Landsorten aufgrund einer langen natürlichen Sele</w:t>
      </w:r>
      <w:r w:rsidRPr="00267897">
        <w:rPr>
          <w:rFonts w:ascii="Arial" w:eastAsia="MS Mincho" w:hAnsi="Arial"/>
          <w:sz w:val="28"/>
          <w:szCs w:val="28"/>
        </w:rPr>
        <w:t>k</w:t>
      </w:r>
      <w:r w:rsidRPr="00267897">
        <w:rPr>
          <w:rFonts w:ascii="Arial" w:eastAsia="MS Mincho" w:hAnsi="Arial"/>
          <w:sz w:val="28"/>
          <w:szCs w:val="28"/>
        </w:rPr>
        <w:t xml:space="preserve">tion </w:t>
      </w:r>
      <w:r w:rsidR="006A4924">
        <w:rPr>
          <w:rFonts w:ascii="Arial" w:eastAsia="MS Mincho" w:hAnsi="Arial"/>
          <w:sz w:val="28"/>
          <w:szCs w:val="28"/>
        </w:rPr>
        <w:t>eine gewisse genetische T</w:t>
      </w:r>
      <w:r w:rsidRPr="00267897">
        <w:rPr>
          <w:rFonts w:ascii="Arial" w:eastAsia="MS Mincho" w:hAnsi="Arial"/>
          <w:sz w:val="28"/>
          <w:szCs w:val="28"/>
        </w:rPr>
        <w:t>oleran</w:t>
      </w:r>
      <w:r w:rsidR="006A4924">
        <w:rPr>
          <w:rFonts w:ascii="Arial" w:eastAsia="MS Mincho" w:hAnsi="Arial"/>
          <w:sz w:val="28"/>
          <w:szCs w:val="28"/>
        </w:rPr>
        <w:t>z</w:t>
      </w:r>
      <w:r w:rsidRPr="00267897">
        <w:rPr>
          <w:rFonts w:ascii="Arial" w:eastAsia="MS Mincho" w:hAnsi="Arial"/>
          <w:sz w:val="28"/>
          <w:szCs w:val="28"/>
        </w:rPr>
        <w:t xml:space="preserve"> erwartet werden k</w:t>
      </w:r>
      <w:r w:rsidR="006A4924">
        <w:rPr>
          <w:rFonts w:ascii="Arial" w:eastAsia="MS Mincho" w:hAnsi="Arial"/>
          <w:sz w:val="28"/>
          <w:szCs w:val="28"/>
        </w:rPr>
        <w:t>ann</w:t>
      </w:r>
      <w:r w:rsidRPr="00267897">
        <w:rPr>
          <w:rFonts w:ascii="Arial" w:eastAsia="MS Mincho" w:hAnsi="Arial"/>
          <w:sz w:val="28"/>
          <w:szCs w:val="28"/>
        </w:rPr>
        <w:t xml:space="preserve">. </w:t>
      </w:r>
    </w:p>
    <w:p w14:paraId="20506F62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48CDCD9B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4.</w:t>
      </w:r>
    </w:p>
    <w:p w14:paraId="1A558655" w14:textId="7A37EBED" w:rsidR="00032426" w:rsidRPr="00267897" w:rsidRDefault="00032426" w:rsidP="00B43E3F">
      <w:pPr>
        <w:pStyle w:val="NurText"/>
        <w:suppressAutoHyphens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siehe Box 10.1; bei Weizen ist der „Fruchtbare Halbmond“ das wichtigste Genzentrum</w:t>
      </w:r>
      <w:r w:rsidR="00832583">
        <w:rPr>
          <w:rFonts w:ascii="Arial" w:eastAsia="MS Mincho" w:hAnsi="Arial"/>
          <w:sz w:val="28"/>
          <w:szCs w:val="28"/>
        </w:rPr>
        <w:t xml:space="preserve">. </w:t>
      </w:r>
      <w:proofErr w:type="spellStart"/>
      <w:r w:rsidR="00832583">
        <w:rPr>
          <w:rFonts w:ascii="Arial" w:eastAsia="MS Mincho" w:hAnsi="Arial"/>
          <w:sz w:val="28"/>
          <w:szCs w:val="28"/>
        </w:rPr>
        <w:t>T</w:t>
      </w:r>
      <w:r w:rsidRPr="00267897">
        <w:rPr>
          <w:rFonts w:ascii="Arial" w:eastAsia="MS Mincho" w:hAnsi="Arial"/>
          <w:sz w:val="28"/>
          <w:szCs w:val="28"/>
        </w:rPr>
        <w:t>etraploide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Arten (</w:t>
      </w:r>
      <w:r w:rsidR="00C741CB">
        <w:rPr>
          <w:rFonts w:ascii="Arial" w:eastAsia="MS Mincho" w:hAnsi="Arial"/>
          <w:sz w:val="28"/>
          <w:szCs w:val="28"/>
        </w:rPr>
        <w:t xml:space="preserve">Abb. 12.7 und </w:t>
      </w:r>
      <w:r w:rsidRPr="00267897">
        <w:rPr>
          <w:rFonts w:ascii="Arial" w:eastAsia="MS Mincho" w:hAnsi="Arial"/>
          <w:sz w:val="28"/>
          <w:szCs w:val="28"/>
        </w:rPr>
        <w:t xml:space="preserve"> S. </w:t>
      </w:r>
      <w:r w:rsidR="00C741CB">
        <w:rPr>
          <w:rFonts w:ascii="Arial" w:eastAsia="MS Mincho" w:hAnsi="Arial"/>
          <w:sz w:val="28"/>
          <w:szCs w:val="28"/>
        </w:rPr>
        <w:t>224</w:t>
      </w:r>
      <w:r w:rsidRPr="00267897">
        <w:rPr>
          <w:rFonts w:ascii="Arial" w:eastAsia="MS Mincho" w:hAnsi="Arial"/>
          <w:sz w:val="28"/>
          <w:szCs w:val="28"/>
        </w:rPr>
        <w:t xml:space="preserve">) sind auch sehr früh schon in </w:t>
      </w:r>
      <w:r w:rsidR="00C9420A">
        <w:rPr>
          <w:rFonts w:ascii="Arial" w:eastAsia="MS Mincho" w:hAnsi="Arial"/>
          <w:sz w:val="28"/>
          <w:szCs w:val="28"/>
        </w:rPr>
        <w:t>Ä</w:t>
      </w:r>
      <w:r w:rsidRPr="00267897">
        <w:rPr>
          <w:rFonts w:ascii="Arial" w:eastAsia="MS Mincho" w:hAnsi="Arial"/>
          <w:sz w:val="28"/>
          <w:szCs w:val="28"/>
        </w:rPr>
        <w:t xml:space="preserve">thiopien angebaut worden und zeigen eine sehr große Variabilität, während </w:t>
      </w:r>
      <w:proofErr w:type="spellStart"/>
      <w:r w:rsidRPr="00267897">
        <w:rPr>
          <w:rFonts w:ascii="Arial" w:eastAsia="MS Mincho" w:hAnsi="Arial"/>
          <w:sz w:val="28"/>
          <w:szCs w:val="28"/>
        </w:rPr>
        <w:t>hexaploider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Weizen </w:t>
      </w:r>
      <w:r w:rsidR="006A4924">
        <w:rPr>
          <w:rFonts w:ascii="Arial" w:eastAsia="MS Mincho" w:hAnsi="Arial"/>
          <w:sz w:val="28"/>
          <w:szCs w:val="28"/>
        </w:rPr>
        <w:t xml:space="preserve">z.B. </w:t>
      </w:r>
      <w:r w:rsidRPr="00267897">
        <w:rPr>
          <w:rFonts w:ascii="Arial" w:eastAsia="MS Mincho" w:hAnsi="Arial"/>
          <w:sz w:val="28"/>
          <w:szCs w:val="28"/>
        </w:rPr>
        <w:t xml:space="preserve">erst in relativ neuer Zeit aus Europa nach Äthiopien eingeführt wurde. </w:t>
      </w:r>
    </w:p>
    <w:p w14:paraId="5E0F283E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0687C9AA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5.</w:t>
      </w:r>
    </w:p>
    <w:p w14:paraId="22502AE5" w14:textId="4E62C9C0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„</w:t>
      </w:r>
      <w:r w:rsidRPr="006A4924">
        <w:rPr>
          <w:rFonts w:ascii="Arial" w:eastAsia="MS Mincho" w:hAnsi="Arial"/>
          <w:i/>
          <w:sz w:val="28"/>
          <w:szCs w:val="28"/>
        </w:rPr>
        <w:t>In situ</w:t>
      </w:r>
      <w:r w:rsidRPr="00267897">
        <w:rPr>
          <w:rFonts w:ascii="Arial" w:eastAsia="MS Mincho" w:hAnsi="Arial"/>
          <w:sz w:val="28"/>
          <w:szCs w:val="28"/>
        </w:rPr>
        <w:t>“ bedeutet „am natürlichen Standort“, bei Wildarten bedeutet eine in-situ Erhaltung also den Schutz von Standorten</w:t>
      </w:r>
      <w:r w:rsidR="006A4924">
        <w:rPr>
          <w:rFonts w:ascii="Arial" w:eastAsia="MS Mincho" w:hAnsi="Arial"/>
          <w:sz w:val="28"/>
          <w:szCs w:val="28"/>
        </w:rPr>
        <w:t>,</w:t>
      </w:r>
      <w:r w:rsidRPr="00267897">
        <w:rPr>
          <w:rFonts w:ascii="Arial" w:eastAsia="MS Mincho" w:hAnsi="Arial"/>
          <w:sz w:val="28"/>
          <w:szCs w:val="28"/>
        </w:rPr>
        <w:t xml:space="preserve"> an denen diese Arten vo</w:t>
      </w:r>
      <w:r w:rsidRPr="00267897">
        <w:rPr>
          <w:rFonts w:ascii="Arial" w:eastAsia="MS Mincho" w:hAnsi="Arial"/>
          <w:sz w:val="28"/>
          <w:szCs w:val="28"/>
        </w:rPr>
        <w:t>r</w:t>
      </w:r>
      <w:r w:rsidRPr="00267897">
        <w:rPr>
          <w:rFonts w:ascii="Arial" w:eastAsia="MS Mincho" w:hAnsi="Arial"/>
          <w:sz w:val="28"/>
          <w:szCs w:val="28"/>
        </w:rPr>
        <w:t xml:space="preserve">kommen. Bei Kulturpflanzen sind „natürliche Standorte“ Felder oder Gärten, wo genetische Ressourcen durch eine on-farm Bewirtschaftung erhalten werden können (s. S. </w:t>
      </w:r>
      <w:r w:rsidR="008B28CB">
        <w:rPr>
          <w:rFonts w:ascii="Arial" w:eastAsia="MS Mincho" w:hAnsi="Arial"/>
          <w:sz w:val="28"/>
          <w:szCs w:val="28"/>
        </w:rPr>
        <w:t>186</w:t>
      </w:r>
      <w:r w:rsidR="008B28CB" w:rsidRPr="00267897">
        <w:rPr>
          <w:rFonts w:ascii="Arial" w:eastAsia="MS Mincho" w:hAnsi="Arial"/>
          <w:sz w:val="28"/>
          <w:szCs w:val="28"/>
        </w:rPr>
        <w:t xml:space="preserve"> </w:t>
      </w:r>
      <w:r w:rsidRPr="00267897">
        <w:rPr>
          <w:rFonts w:ascii="Arial" w:eastAsia="MS Mincho" w:hAnsi="Arial"/>
          <w:sz w:val="28"/>
          <w:szCs w:val="28"/>
        </w:rPr>
        <w:t xml:space="preserve">– 191). </w:t>
      </w:r>
    </w:p>
    <w:p w14:paraId="788A4624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6BB1C0B2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lastRenderedPageBreak/>
        <w:t>6.</w:t>
      </w:r>
    </w:p>
    <w:p w14:paraId="1D3A62FA" w14:textId="3EE29EE5" w:rsidR="00032426" w:rsidRPr="00267897" w:rsidRDefault="00032426">
      <w:pPr>
        <w:pStyle w:val="NurText"/>
        <w:numPr>
          <w:ilvl w:val="0"/>
          <w:numId w:val="7"/>
        </w:numPr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 xml:space="preserve">falsch, z.B. sind in der Genbank </w:t>
      </w:r>
      <w:proofErr w:type="spellStart"/>
      <w:r w:rsidRPr="00267897">
        <w:rPr>
          <w:rFonts w:ascii="Arial" w:eastAsia="MS Mincho" w:hAnsi="Arial"/>
          <w:sz w:val="28"/>
          <w:szCs w:val="28"/>
        </w:rPr>
        <w:t>Gatersleben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</w:t>
      </w:r>
      <w:proofErr w:type="spellStart"/>
      <w:r w:rsidRPr="00267897">
        <w:rPr>
          <w:rFonts w:ascii="Arial" w:eastAsia="MS Mincho" w:hAnsi="Arial"/>
          <w:sz w:val="28"/>
          <w:szCs w:val="28"/>
        </w:rPr>
        <w:t>Herkünfte</w:t>
      </w:r>
      <w:proofErr w:type="spellEnd"/>
      <w:r w:rsidRPr="00267897">
        <w:rPr>
          <w:rFonts w:ascii="Arial" w:eastAsia="MS Mincho" w:hAnsi="Arial"/>
          <w:sz w:val="28"/>
          <w:szCs w:val="28"/>
        </w:rPr>
        <w:t xml:space="preserve"> von </w:t>
      </w:r>
      <w:r w:rsidR="008B28CB">
        <w:rPr>
          <w:rFonts w:ascii="Arial" w:eastAsia="MS Mincho" w:hAnsi="Arial"/>
          <w:sz w:val="28"/>
          <w:szCs w:val="28"/>
        </w:rPr>
        <w:t>fast</w:t>
      </w:r>
      <w:r w:rsidR="008B28CB" w:rsidRPr="00267897">
        <w:rPr>
          <w:rFonts w:ascii="Arial" w:eastAsia="MS Mincho" w:hAnsi="Arial"/>
          <w:sz w:val="28"/>
          <w:szCs w:val="28"/>
        </w:rPr>
        <w:t xml:space="preserve"> </w:t>
      </w:r>
      <w:r w:rsidRPr="00267897">
        <w:rPr>
          <w:rFonts w:ascii="Arial" w:eastAsia="MS Mincho" w:hAnsi="Arial"/>
          <w:sz w:val="28"/>
          <w:szCs w:val="28"/>
        </w:rPr>
        <w:t>3000 Arten gelagert (Tab. 10.2)</w:t>
      </w:r>
    </w:p>
    <w:p w14:paraId="63F3E377" w14:textId="77777777" w:rsidR="00032426" w:rsidRPr="00267897" w:rsidRDefault="00032426">
      <w:pPr>
        <w:pStyle w:val="NurText"/>
        <w:numPr>
          <w:ilvl w:val="0"/>
          <w:numId w:val="7"/>
        </w:numPr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richtig, bei Reis sind dies etwa 770 000 Herkünfte (s. S. 188), bei We</w:t>
      </w:r>
      <w:r w:rsidRPr="00267897">
        <w:rPr>
          <w:rFonts w:ascii="Arial" w:eastAsia="MS Mincho" w:hAnsi="Arial"/>
          <w:sz w:val="28"/>
          <w:szCs w:val="28"/>
        </w:rPr>
        <w:t>i</w:t>
      </w:r>
      <w:r w:rsidRPr="00267897">
        <w:rPr>
          <w:rFonts w:ascii="Arial" w:eastAsia="MS Mincho" w:hAnsi="Arial"/>
          <w:sz w:val="28"/>
          <w:szCs w:val="28"/>
        </w:rPr>
        <w:t xml:space="preserve">zen </w:t>
      </w:r>
      <w:r w:rsidR="00B85B8D">
        <w:rPr>
          <w:rFonts w:ascii="Arial" w:eastAsia="MS Mincho" w:hAnsi="Arial"/>
          <w:sz w:val="28"/>
          <w:szCs w:val="28"/>
        </w:rPr>
        <w:t>über 800 000 Herkünfte.</w:t>
      </w:r>
    </w:p>
    <w:p w14:paraId="1E6A337C" w14:textId="77777777" w:rsidR="00032426" w:rsidRPr="00267897" w:rsidRDefault="00032426">
      <w:pPr>
        <w:pStyle w:val="NurText"/>
        <w:numPr>
          <w:ilvl w:val="0"/>
          <w:numId w:val="7"/>
        </w:numPr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falsch, es werden etwa 10 % aller Herkünfte jährlich regeneriert (Tab. 10.3)</w:t>
      </w:r>
    </w:p>
    <w:p w14:paraId="6B45DB0F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71F1C56F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7.</w:t>
      </w:r>
    </w:p>
    <w:p w14:paraId="63301E3F" w14:textId="16F6905C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 xml:space="preserve">siehe S. </w:t>
      </w:r>
      <w:r w:rsidR="008B28CB">
        <w:rPr>
          <w:rFonts w:ascii="Arial" w:eastAsia="MS Mincho" w:hAnsi="Arial"/>
          <w:sz w:val="28"/>
          <w:szCs w:val="28"/>
        </w:rPr>
        <w:t>187</w:t>
      </w:r>
    </w:p>
    <w:p w14:paraId="48053885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0B5613CC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8.</w:t>
      </w:r>
    </w:p>
    <w:p w14:paraId="0042258C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Zum einen natürlich von optimalen Lagerungsbedingungen, diese sind arta</w:t>
      </w:r>
      <w:r w:rsidRPr="00267897">
        <w:rPr>
          <w:rFonts w:ascii="Arial" w:eastAsia="MS Mincho" w:hAnsi="Arial"/>
          <w:sz w:val="28"/>
          <w:szCs w:val="28"/>
        </w:rPr>
        <w:t>b</w:t>
      </w:r>
      <w:r w:rsidRPr="00267897">
        <w:rPr>
          <w:rFonts w:ascii="Arial" w:eastAsia="MS Mincho" w:hAnsi="Arial"/>
          <w:sz w:val="28"/>
          <w:szCs w:val="28"/>
        </w:rPr>
        <w:t>hängig. Bei den meisten Arten (z.B. Getreide) sollten Samen bei Temperat</w:t>
      </w:r>
      <w:r w:rsidRPr="00267897">
        <w:rPr>
          <w:rFonts w:ascii="Arial" w:eastAsia="MS Mincho" w:hAnsi="Arial"/>
          <w:sz w:val="28"/>
          <w:szCs w:val="28"/>
        </w:rPr>
        <w:t>u</w:t>
      </w:r>
      <w:r w:rsidRPr="00267897">
        <w:rPr>
          <w:rFonts w:ascii="Arial" w:eastAsia="MS Mincho" w:hAnsi="Arial"/>
          <w:sz w:val="28"/>
          <w:szCs w:val="28"/>
        </w:rPr>
        <w:t>ren unter Null und bei sehr niedriger Luftfeuchtigkeit gelagert werden. Auße</w:t>
      </w:r>
      <w:r w:rsidRPr="00267897">
        <w:rPr>
          <w:rFonts w:ascii="Arial" w:eastAsia="MS Mincho" w:hAnsi="Arial"/>
          <w:sz w:val="28"/>
          <w:szCs w:val="28"/>
        </w:rPr>
        <w:t>r</w:t>
      </w:r>
      <w:r w:rsidRPr="00267897">
        <w:rPr>
          <w:rFonts w:ascii="Arial" w:eastAsia="MS Mincho" w:hAnsi="Arial"/>
          <w:sz w:val="28"/>
          <w:szCs w:val="28"/>
        </w:rPr>
        <w:t>dem ist die Lagerfähigkeit aber auch vom Genotyp abhängig (siehe Abb. 10.7).</w:t>
      </w:r>
    </w:p>
    <w:p w14:paraId="04A71453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</w:p>
    <w:p w14:paraId="18C36AEE" w14:textId="77777777" w:rsidR="00032426" w:rsidRPr="00267897" w:rsidRDefault="00032426">
      <w:pPr>
        <w:pStyle w:val="NurText"/>
        <w:rPr>
          <w:rFonts w:ascii="Arial" w:eastAsia="MS Mincho" w:hAnsi="Arial"/>
          <w:sz w:val="28"/>
          <w:szCs w:val="28"/>
        </w:rPr>
      </w:pPr>
      <w:r w:rsidRPr="00267897">
        <w:rPr>
          <w:rFonts w:ascii="Arial" w:eastAsia="MS Mincho" w:hAnsi="Arial"/>
          <w:sz w:val="28"/>
          <w:szCs w:val="28"/>
        </w:rPr>
        <w:t>9.</w:t>
      </w:r>
    </w:p>
    <w:p w14:paraId="1BE9E5D8" w14:textId="0C0CD2BF" w:rsidR="00032426" w:rsidRDefault="00032426">
      <w:pPr>
        <w:pStyle w:val="NurText"/>
        <w:rPr>
          <w:rFonts w:ascii="Arial" w:eastAsia="MS Mincho" w:hAnsi="Arial"/>
          <w:sz w:val="24"/>
        </w:rPr>
      </w:pPr>
      <w:r w:rsidRPr="00267897">
        <w:rPr>
          <w:rFonts w:ascii="Arial" w:eastAsia="MS Mincho" w:hAnsi="Arial"/>
          <w:sz w:val="28"/>
          <w:szCs w:val="28"/>
        </w:rPr>
        <w:t xml:space="preserve">siehe S. </w:t>
      </w:r>
      <w:r w:rsidR="008B28CB">
        <w:rPr>
          <w:rFonts w:ascii="Arial" w:eastAsia="MS Mincho" w:hAnsi="Arial"/>
          <w:sz w:val="28"/>
          <w:szCs w:val="28"/>
        </w:rPr>
        <w:t>190 - 192</w:t>
      </w:r>
    </w:p>
    <w:sectPr w:rsidR="00032426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Thorndale Duospace WT S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B94"/>
    <w:multiLevelType w:val="hybridMultilevel"/>
    <w:tmpl w:val="DEB207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71706"/>
    <w:multiLevelType w:val="hybridMultilevel"/>
    <w:tmpl w:val="2F4018F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8399F"/>
    <w:multiLevelType w:val="hybridMultilevel"/>
    <w:tmpl w:val="FEDAB72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15A3"/>
    <w:multiLevelType w:val="hybridMultilevel"/>
    <w:tmpl w:val="10A4BC5E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D2003"/>
    <w:multiLevelType w:val="hybridMultilevel"/>
    <w:tmpl w:val="0108DFD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780524"/>
    <w:multiLevelType w:val="hybridMultilevel"/>
    <w:tmpl w:val="F8768FF0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3050A"/>
    <w:multiLevelType w:val="hybridMultilevel"/>
    <w:tmpl w:val="833C0A9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F308F"/>
    <w:multiLevelType w:val="hybridMultilevel"/>
    <w:tmpl w:val="E342DB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D7654"/>
    <w:multiLevelType w:val="hybridMultilevel"/>
    <w:tmpl w:val="46BCE7D4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E7A20"/>
    <w:multiLevelType w:val="hybridMultilevel"/>
    <w:tmpl w:val="1762921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A6905"/>
    <w:multiLevelType w:val="hybridMultilevel"/>
    <w:tmpl w:val="F52E99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163BD"/>
    <w:multiLevelType w:val="hybridMultilevel"/>
    <w:tmpl w:val="6E54F116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00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B7D65"/>
    <w:multiLevelType w:val="hybridMultilevel"/>
    <w:tmpl w:val="9F1A294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B22FA"/>
    <w:multiLevelType w:val="hybridMultilevel"/>
    <w:tmpl w:val="F350FD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97"/>
    <w:rsid w:val="00032426"/>
    <w:rsid w:val="000670E8"/>
    <w:rsid w:val="001268FF"/>
    <w:rsid w:val="00132E3A"/>
    <w:rsid w:val="00267897"/>
    <w:rsid w:val="006A4924"/>
    <w:rsid w:val="007E67DE"/>
    <w:rsid w:val="00832583"/>
    <w:rsid w:val="008B28CB"/>
    <w:rsid w:val="009B0D9F"/>
    <w:rsid w:val="00B43E3F"/>
    <w:rsid w:val="00B85B8D"/>
    <w:rsid w:val="00C741CB"/>
    <w:rsid w:val="00C9420A"/>
    <w:rsid w:val="00D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9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5  Resistenz und Toleranz</vt:lpstr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5  Resistenz und Toleranz</dc:title>
  <dc:creator>MM</dc:creator>
  <cp:lastModifiedBy>QQQ</cp:lastModifiedBy>
  <cp:revision>2</cp:revision>
  <dcterms:created xsi:type="dcterms:W3CDTF">2021-06-15T14:56:00Z</dcterms:created>
  <dcterms:modified xsi:type="dcterms:W3CDTF">2021-06-15T14:56:00Z</dcterms:modified>
</cp:coreProperties>
</file>